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5EB" w:rsidRDefault="009F0FCC">
      <w:pPr>
        <w:pStyle w:val="a9"/>
        <w:spacing w:before="312" w:after="312"/>
      </w:pPr>
      <w:r>
        <w:rPr>
          <w:rFonts w:hint="eastAsia"/>
        </w:rPr>
        <w:t>贵港市本级</w:t>
      </w:r>
      <w:bookmarkStart w:id="0" w:name="_GoBack"/>
      <w:bookmarkEnd w:id="0"/>
      <w:r>
        <w:rPr>
          <w:rFonts w:hint="eastAsia"/>
        </w:rPr>
        <w:t>预算202</w:t>
      </w:r>
      <w:r w:rsidR="00D04867">
        <w:rPr>
          <w:rFonts w:hint="eastAsia"/>
        </w:rPr>
        <w:t>3</w:t>
      </w:r>
      <w:r>
        <w:rPr>
          <w:rFonts w:hint="eastAsia"/>
        </w:rPr>
        <w:t>年绩效目标申报文字说明</w:t>
      </w:r>
    </w:p>
    <w:p w:rsidR="002125EB" w:rsidRDefault="009F0FCC" w:rsidP="0085715F">
      <w:pPr>
        <w:spacing w:afterLines="50"/>
        <w:rPr>
          <w:u w:val="single"/>
        </w:rPr>
      </w:pPr>
      <w:r>
        <w:rPr>
          <w:rFonts w:ascii="黑体" w:eastAsia="黑体" w:hint="eastAsia"/>
        </w:rPr>
        <w:t>项目名称</w:t>
      </w:r>
      <w:r>
        <w:rPr>
          <w:rFonts w:hint="eastAsia"/>
        </w:rPr>
        <w:t>：</w:t>
      </w:r>
      <w:r>
        <w:rPr>
          <w:rFonts w:hint="eastAsia"/>
          <w:u w:val="single"/>
        </w:rPr>
        <w:tab/>
      </w:r>
      <w:r>
        <w:rPr>
          <w:rFonts w:hint="eastAsia"/>
          <w:u w:val="single"/>
        </w:rPr>
        <w:tab/>
      </w:r>
      <w:r>
        <w:rPr>
          <w:rFonts w:ascii="黑体" w:eastAsia="黑体" w:hAnsi="黑体" w:hint="eastAsia"/>
          <w:b/>
          <w:u w:val="single"/>
        </w:rPr>
        <w:t>保障农民工工资支付专项整治工作经费</w:t>
      </w:r>
      <w:r>
        <w:rPr>
          <w:rFonts w:hint="eastAsia"/>
          <w:u w:val="single"/>
        </w:rPr>
        <w:tab/>
      </w:r>
      <w:r>
        <w:rPr>
          <w:rFonts w:hint="eastAsia"/>
          <w:u w:val="single"/>
        </w:rPr>
        <w:tab/>
      </w:r>
    </w:p>
    <w:p w:rsidR="002125EB" w:rsidRDefault="009F0FCC" w:rsidP="0085715F">
      <w:pPr>
        <w:spacing w:afterLines="50"/>
        <w:rPr>
          <w:rFonts w:ascii="黑体" w:eastAsia="黑体"/>
        </w:rPr>
      </w:pPr>
      <w:r>
        <w:rPr>
          <w:rFonts w:ascii="黑体" w:eastAsia="黑体" w:hint="eastAsia"/>
        </w:rPr>
        <w:t>项目实施单位：</w:t>
      </w:r>
      <w:r>
        <w:rPr>
          <w:rFonts w:ascii="黑体" w:eastAsia="黑体" w:hint="eastAsia"/>
          <w:u w:val="single"/>
        </w:rPr>
        <w:t xml:space="preserve">    贵港市劳动保障监察支队        </w:t>
      </w:r>
    </w:p>
    <w:p w:rsidR="002125EB" w:rsidRDefault="009F0FCC">
      <w:pPr>
        <w:pStyle w:val="ab"/>
        <w:rPr>
          <w:rFonts w:hAnsi="黑体"/>
          <w:szCs w:val="28"/>
        </w:rPr>
      </w:pPr>
      <w:r>
        <w:rPr>
          <w:rFonts w:hAnsi="黑体" w:hint="eastAsia"/>
          <w:szCs w:val="28"/>
        </w:rPr>
        <w:t>一、项目概况。</w:t>
      </w:r>
    </w:p>
    <w:p w:rsidR="002125EB" w:rsidRDefault="009F0FCC">
      <w:pPr>
        <w:pStyle w:val="ab"/>
        <w:spacing w:line="580" w:lineRule="exact"/>
        <w:ind w:firstLine="560"/>
        <w:rPr>
          <w:rFonts w:hAnsi="黑体"/>
          <w:b w:val="0"/>
          <w:szCs w:val="28"/>
        </w:rPr>
      </w:pPr>
      <w:r>
        <w:rPr>
          <w:rFonts w:hAnsi="黑体" w:hint="eastAsia"/>
          <w:b w:val="0"/>
          <w:szCs w:val="28"/>
        </w:rPr>
        <w:t>紧紧围绕保护农民工劳动所得，坚持标本兼治、综合治理，着力规范工资支付行为、优化市场环境、强化监管责任，健全预防和解决拖欠农民工工资问题的长效机制，切实保障农民工劳动报酬权益，维护社会公平正义，促进社会和谐稳定。</w:t>
      </w:r>
    </w:p>
    <w:p w:rsidR="002125EB" w:rsidRDefault="009F0FCC">
      <w:pPr>
        <w:pStyle w:val="ab"/>
        <w:spacing w:line="580" w:lineRule="exact"/>
        <w:rPr>
          <w:rFonts w:hAnsi="黑体"/>
          <w:szCs w:val="28"/>
        </w:rPr>
      </w:pPr>
      <w:r>
        <w:rPr>
          <w:rFonts w:hAnsi="黑体" w:hint="eastAsia"/>
          <w:szCs w:val="28"/>
        </w:rPr>
        <w:t>二、项目立项情况。</w:t>
      </w:r>
    </w:p>
    <w:p w:rsidR="002125EB" w:rsidRDefault="009F0FCC">
      <w:pPr>
        <w:spacing w:line="580" w:lineRule="exact"/>
        <w:ind w:firstLineChars="200" w:firstLine="560"/>
        <w:rPr>
          <w:rFonts w:ascii="黑体" w:eastAsia="黑体" w:hAnsi="黑体" w:cs="宋体"/>
          <w:bCs/>
        </w:rPr>
      </w:pPr>
      <w:r>
        <w:rPr>
          <w:rFonts w:ascii="黑体" w:eastAsia="黑体" w:hAnsi="黑体" w:cs="宋体" w:hint="eastAsia"/>
          <w:bCs/>
        </w:rPr>
        <w:t>立项依据：《保障农民工工资支付条例》（国务院令第724号），《国务院办公厅关于全面治理拖欠农民工工资问题的意见》（国办发〔2016〕1号)，《广西壮族自治区人民政府办公厅关于全面治理拖欠农民工工资问题的实施意见》（桂政办发〔2016〕113号）。</w:t>
      </w:r>
    </w:p>
    <w:p w:rsidR="002125EB" w:rsidRDefault="009F0FCC">
      <w:pPr>
        <w:spacing w:line="580" w:lineRule="exact"/>
        <w:ind w:firstLineChars="200" w:firstLine="562"/>
        <w:rPr>
          <w:rFonts w:ascii="黑体" w:eastAsia="黑体" w:hAnsi="黑体"/>
          <w:b/>
        </w:rPr>
      </w:pPr>
      <w:r>
        <w:rPr>
          <w:rFonts w:ascii="黑体" w:eastAsia="黑体" w:hAnsi="黑体" w:hint="eastAsia"/>
          <w:b/>
        </w:rPr>
        <w:t>三、项目资金用途。</w:t>
      </w:r>
    </w:p>
    <w:p w:rsidR="002125EB" w:rsidRDefault="009F0FCC">
      <w:pPr>
        <w:spacing w:line="580" w:lineRule="exact"/>
        <w:ind w:firstLineChars="200" w:firstLine="560"/>
        <w:rPr>
          <w:rFonts w:ascii="黑体" w:eastAsia="黑体" w:hAnsi="黑体"/>
        </w:rPr>
      </w:pPr>
      <w:r>
        <w:rPr>
          <w:rFonts w:ascii="黑体" w:eastAsia="黑体" w:hAnsi="黑体" w:hint="eastAsia"/>
        </w:rPr>
        <w:t>本项目设置资金</w:t>
      </w:r>
      <w:r w:rsidR="00D04867">
        <w:rPr>
          <w:rFonts w:ascii="黑体" w:eastAsia="黑体" w:hAnsi="黑体" w:hint="eastAsia"/>
        </w:rPr>
        <w:t>5</w:t>
      </w:r>
      <w:r>
        <w:rPr>
          <w:rFonts w:ascii="黑体" w:eastAsia="黑体" w:hAnsi="黑体" w:hint="eastAsia"/>
        </w:rPr>
        <w:t>万元，用于开展保障农民工工资支付工作日常办公经费。</w:t>
      </w:r>
      <w:r w:rsidR="00BB2160">
        <w:rPr>
          <w:rFonts w:ascii="黑体" w:eastAsia="黑体" w:hAnsi="黑体" w:hint="eastAsia"/>
        </w:rPr>
        <w:t>其中：办公费</w:t>
      </w:r>
      <w:r w:rsidR="00D04867">
        <w:rPr>
          <w:rFonts w:ascii="黑体" w:eastAsia="黑体" w:hAnsi="黑体" w:hint="eastAsia"/>
        </w:rPr>
        <w:t>2.</w:t>
      </w:r>
      <w:r w:rsidR="00BB2160">
        <w:rPr>
          <w:rFonts w:ascii="黑体" w:eastAsia="黑体" w:hAnsi="黑体" w:hint="eastAsia"/>
        </w:rPr>
        <w:t>3万元</w:t>
      </w:r>
      <w:r w:rsidR="00F70817">
        <w:rPr>
          <w:rFonts w:ascii="黑体" w:eastAsia="黑体" w:hAnsi="黑体" w:hint="eastAsia"/>
        </w:rPr>
        <w:t>、宣传印刷费</w:t>
      </w:r>
      <w:r w:rsidR="00D04867">
        <w:rPr>
          <w:rFonts w:ascii="黑体" w:eastAsia="黑体" w:hAnsi="黑体" w:hint="eastAsia"/>
        </w:rPr>
        <w:t>0.5</w:t>
      </w:r>
      <w:r w:rsidR="00F70817">
        <w:rPr>
          <w:rFonts w:ascii="黑体" w:eastAsia="黑体" w:hAnsi="黑体" w:hint="eastAsia"/>
        </w:rPr>
        <w:t>万元、</w:t>
      </w:r>
      <w:r w:rsidR="00BB2160">
        <w:rPr>
          <w:rFonts w:ascii="黑体" w:eastAsia="黑体" w:hAnsi="黑体" w:hint="eastAsia"/>
        </w:rPr>
        <w:t>差旅费</w:t>
      </w:r>
      <w:r w:rsidR="00D04867">
        <w:rPr>
          <w:rFonts w:ascii="黑体" w:eastAsia="黑体" w:hAnsi="黑体" w:hint="eastAsia"/>
        </w:rPr>
        <w:t>2.2</w:t>
      </w:r>
      <w:r w:rsidR="00BB2160">
        <w:rPr>
          <w:rFonts w:ascii="黑体" w:eastAsia="黑体" w:hAnsi="黑体" w:hint="eastAsia"/>
        </w:rPr>
        <w:t>万元</w:t>
      </w:r>
      <w:r w:rsidR="00F70817">
        <w:rPr>
          <w:rFonts w:ascii="黑体" w:eastAsia="黑体" w:hAnsi="黑体" w:hint="eastAsia"/>
        </w:rPr>
        <w:t>。</w:t>
      </w:r>
    </w:p>
    <w:p w:rsidR="002125EB" w:rsidRDefault="009F0FCC">
      <w:pPr>
        <w:pStyle w:val="ab"/>
        <w:spacing w:line="580" w:lineRule="exact"/>
        <w:rPr>
          <w:rFonts w:hAnsi="黑体"/>
          <w:szCs w:val="28"/>
        </w:rPr>
      </w:pPr>
      <w:r>
        <w:rPr>
          <w:rFonts w:hAnsi="黑体" w:hint="eastAsia"/>
          <w:szCs w:val="28"/>
        </w:rPr>
        <w:t>四、项目管理办法和绩效指标要求。</w:t>
      </w:r>
    </w:p>
    <w:p w:rsidR="002125EB" w:rsidRDefault="009F0FCC">
      <w:pPr>
        <w:pStyle w:val="ab"/>
        <w:spacing w:line="580" w:lineRule="exact"/>
        <w:ind w:firstLine="560"/>
        <w:rPr>
          <w:rFonts w:hAnsi="黑体"/>
          <w:b w:val="0"/>
          <w:szCs w:val="28"/>
        </w:rPr>
      </w:pPr>
      <w:r>
        <w:rPr>
          <w:rFonts w:hAnsi="黑体" w:hint="eastAsia"/>
          <w:b w:val="0"/>
          <w:color w:val="525353"/>
          <w:kern w:val="0"/>
          <w:szCs w:val="28"/>
        </w:rPr>
        <w:t>以建筑市政、交通、水利等工程建设领域和劳动密集型加工制造、餐饮服务等易发生拖欠工资问题的行业为重点，健全源头预防、动态监管、失信惩戒相结合的制度保障体系，完善市场主体自律、政府依法监管、社会协同监督、司法联动惩处的工作体系，形成制度完备、责任落实、监管有力的治理格局，使拖欠农民工工资问题得到根本遏制，努力实现基本无</w:t>
      </w:r>
      <w:r>
        <w:rPr>
          <w:rFonts w:hAnsi="黑体" w:hint="eastAsia"/>
          <w:b w:val="0"/>
          <w:color w:val="525353"/>
          <w:kern w:val="0"/>
          <w:szCs w:val="28"/>
        </w:rPr>
        <w:lastRenderedPageBreak/>
        <w:t>拖欠。在开展工作使用经费过程中，严格按财经有关法律法规开支，切实加强财政资金的监督管理，严格按照预算内容和经费使用范围，自觉接受监督检查，确保经费及时到位和专款专用。</w:t>
      </w:r>
    </w:p>
    <w:p w:rsidR="002125EB" w:rsidRPr="00D06ACF" w:rsidRDefault="009F0FCC">
      <w:pPr>
        <w:pStyle w:val="ab"/>
        <w:spacing w:line="580" w:lineRule="exact"/>
        <w:rPr>
          <w:rFonts w:hAnsi="黑体"/>
          <w:szCs w:val="28"/>
        </w:rPr>
      </w:pPr>
      <w:r w:rsidRPr="00D06ACF">
        <w:rPr>
          <w:rFonts w:hAnsi="黑体" w:hint="eastAsia"/>
          <w:szCs w:val="28"/>
        </w:rPr>
        <w:t>五、项目预算单位开展的工作。</w:t>
      </w:r>
    </w:p>
    <w:p w:rsidR="002125EB" w:rsidRPr="00D06ACF" w:rsidRDefault="009F0FCC">
      <w:pPr>
        <w:pStyle w:val="ab"/>
        <w:spacing w:line="580" w:lineRule="exact"/>
        <w:ind w:firstLine="560"/>
        <w:rPr>
          <w:rFonts w:hAnsi="黑体"/>
          <w:b w:val="0"/>
          <w:szCs w:val="28"/>
        </w:rPr>
      </w:pPr>
      <w:r w:rsidRPr="00D06ACF">
        <w:rPr>
          <w:rFonts w:hAnsi="黑体" w:hint="eastAsia"/>
          <w:b w:val="0"/>
          <w:szCs w:val="28"/>
        </w:rPr>
        <w:t>紧紧围绕保护农民工劳动所得，坚持标本兼治、综合治理，着力规范工资支付行为、优化市场环境、强化监管责任，健全预防和解决拖欠农民工工资问题的长效机制，年内开展主要工作如下：（一）</w:t>
      </w:r>
      <w:r w:rsidR="00D04867">
        <w:rPr>
          <w:rFonts w:hAnsi="黑体" w:hint="eastAsia"/>
          <w:b w:val="0"/>
          <w:szCs w:val="28"/>
        </w:rPr>
        <w:t>检查建筑工程在建项目150个；</w:t>
      </w:r>
      <w:r w:rsidR="00D04867" w:rsidRPr="00D06ACF">
        <w:rPr>
          <w:rFonts w:hAnsi="黑体" w:hint="eastAsia"/>
          <w:b w:val="0"/>
          <w:szCs w:val="28"/>
        </w:rPr>
        <w:t>（二）</w:t>
      </w:r>
      <w:r w:rsidRPr="00D06ACF">
        <w:rPr>
          <w:rFonts w:hAnsi="黑体" w:hint="eastAsia"/>
          <w:b w:val="0"/>
          <w:szCs w:val="28"/>
        </w:rPr>
        <w:t>迎接</w:t>
      </w:r>
      <w:r w:rsidR="00D04867">
        <w:rPr>
          <w:rFonts w:hAnsi="黑体" w:hint="eastAsia"/>
          <w:b w:val="0"/>
          <w:szCs w:val="28"/>
        </w:rPr>
        <w:t>上级根治欠薪工作检查调研2次；</w:t>
      </w:r>
      <w:r w:rsidR="00D04867" w:rsidRPr="00D06ACF">
        <w:rPr>
          <w:rFonts w:hAnsi="黑体" w:hint="eastAsia"/>
          <w:b w:val="0"/>
          <w:szCs w:val="28"/>
        </w:rPr>
        <w:t>（</w:t>
      </w:r>
      <w:r w:rsidR="00D04867">
        <w:rPr>
          <w:rFonts w:hAnsi="黑体" w:hint="eastAsia"/>
          <w:b w:val="0"/>
          <w:szCs w:val="28"/>
        </w:rPr>
        <w:t>三</w:t>
      </w:r>
      <w:r w:rsidR="00D04867" w:rsidRPr="00D06ACF">
        <w:rPr>
          <w:rFonts w:hAnsi="黑体" w:hint="eastAsia"/>
          <w:b w:val="0"/>
          <w:szCs w:val="28"/>
        </w:rPr>
        <w:t>）</w:t>
      </w:r>
      <w:r w:rsidR="00D04867">
        <w:rPr>
          <w:rFonts w:hAnsi="黑体" w:hint="eastAsia"/>
          <w:b w:val="0"/>
          <w:szCs w:val="28"/>
        </w:rPr>
        <w:t>开展根治欠薪联合执法行动2次；</w:t>
      </w:r>
      <w:r w:rsidRPr="00D06ACF">
        <w:rPr>
          <w:rFonts w:hAnsi="黑体" w:hint="eastAsia"/>
          <w:b w:val="0"/>
          <w:szCs w:val="28"/>
        </w:rPr>
        <w:t>（四）</w:t>
      </w:r>
      <w:r w:rsidR="002A0C9B">
        <w:rPr>
          <w:rFonts w:hAnsi="黑体" w:hint="eastAsia"/>
          <w:b w:val="0"/>
          <w:szCs w:val="28"/>
        </w:rPr>
        <w:t>开展</w:t>
      </w:r>
      <w:r w:rsidR="002A0C9B" w:rsidRPr="00D06ACF">
        <w:rPr>
          <w:rFonts w:hAnsi="黑体" w:hint="eastAsia"/>
          <w:b w:val="0"/>
          <w:szCs w:val="28"/>
        </w:rPr>
        <w:t>根治欠薪工作调研活动</w:t>
      </w:r>
      <w:r w:rsidR="002A0C9B">
        <w:rPr>
          <w:rFonts w:hAnsi="黑体" w:hint="eastAsia"/>
          <w:b w:val="0"/>
          <w:szCs w:val="28"/>
        </w:rPr>
        <w:t>2次</w:t>
      </w:r>
      <w:r w:rsidR="00D04867">
        <w:rPr>
          <w:rFonts w:hAnsi="黑体" w:hint="eastAsia"/>
          <w:b w:val="0"/>
          <w:szCs w:val="28"/>
        </w:rPr>
        <w:t>；</w:t>
      </w:r>
      <w:r w:rsidRPr="00D06ACF">
        <w:rPr>
          <w:rFonts w:hAnsi="黑体" w:hint="eastAsia"/>
          <w:b w:val="0"/>
          <w:szCs w:val="28"/>
        </w:rPr>
        <w:t>（五）</w:t>
      </w:r>
      <w:r w:rsidR="002A0C9B" w:rsidRPr="00D06ACF">
        <w:rPr>
          <w:rFonts w:hAnsi="黑体" w:hint="eastAsia"/>
          <w:b w:val="0"/>
          <w:szCs w:val="28"/>
        </w:rPr>
        <w:t>召开</w:t>
      </w:r>
      <w:r w:rsidR="002A0C9B">
        <w:rPr>
          <w:rFonts w:hAnsi="黑体" w:hint="eastAsia"/>
          <w:b w:val="0"/>
          <w:szCs w:val="28"/>
        </w:rPr>
        <w:t>根治欠薪联席会议2次</w:t>
      </w:r>
      <w:r w:rsidRPr="00D06ACF">
        <w:rPr>
          <w:rFonts w:hAnsi="黑体" w:hint="eastAsia"/>
          <w:b w:val="0"/>
          <w:szCs w:val="28"/>
        </w:rPr>
        <w:t>。</w:t>
      </w:r>
    </w:p>
    <w:p w:rsidR="002125EB" w:rsidRPr="00D06ACF" w:rsidRDefault="009F0FCC">
      <w:pPr>
        <w:pStyle w:val="ab"/>
        <w:spacing w:line="580" w:lineRule="exact"/>
        <w:rPr>
          <w:rFonts w:hAnsi="黑体"/>
          <w:szCs w:val="28"/>
        </w:rPr>
      </w:pPr>
      <w:r w:rsidRPr="00D06ACF">
        <w:rPr>
          <w:rFonts w:hAnsi="黑体" w:hint="eastAsia"/>
          <w:szCs w:val="28"/>
        </w:rPr>
        <w:t>六、本年度项目要实现的主要工作成果</w:t>
      </w:r>
    </w:p>
    <w:p w:rsidR="002125EB" w:rsidRPr="00D06ACF" w:rsidRDefault="00DC1E10" w:rsidP="00DC1E10">
      <w:pPr>
        <w:pStyle w:val="ab"/>
        <w:spacing w:line="580" w:lineRule="exact"/>
        <w:ind w:firstLine="560"/>
        <w:rPr>
          <w:rFonts w:hAnsi="黑体"/>
          <w:b w:val="0"/>
          <w:szCs w:val="28"/>
        </w:rPr>
      </w:pPr>
      <w:r w:rsidRPr="00DC1E10">
        <w:rPr>
          <w:rFonts w:hAnsi="黑体" w:hint="eastAsia"/>
          <w:b w:val="0"/>
          <w:szCs w:val="28"/>
        </w:rPr>
        <w:t>组织开展保障农民工工资支付工作，贯彻落实《保障农民工工资支付条例》，加强工程建设领域欠薪源头治理，推进落实根治欠薪“一金七制度”，依法查处和惩戒欠薪行为，保障农民工劳动报酬权益。拖欠农民工工资案件结案率不低于98%。</w:t>
      </w:r>
    </w:p>
    <w:p w:rsidR="002125EB" w:rsidRDefault="009F0FCC">
      <w:pPr>
        <w:pStyle w:val="ab"/>
        <w:spacing w:line="580" w:lineRule="exact"/>
        <w:rPr>
          <w:rFonts w:hAnsi="黑体"/>
          <w:szCs w:val="28"/>
        </w:rPr>
      </w:pPr>
      <w:r>
        <w:rPr>
          <w:rFonts w:hAnsi="黑体" w:hint="eastAsia"/>
          <w:szCs w:val="28"/>
        </w:rPr>
        <w:t>七、项目工作完成后将产生的效益</w:t>
      </w:r>
    </w:p>
    <w:p w:rsidR="002125EB" w:rsidRDefault="009F0FCC">
      <w:pPr>
        <w:spacing w:line="580" w:lineRule="exact"/>
        <w:ind w:firstLineChars="200" w:firstLine="560"/>
        <w:rPr>
          <w:rFonts w:ascii="黑体" w:eastAsia="黑体" w:hAnsi="黑体"/>
        </w:rPr>
      </w:pPr>
      <w:r>
        <w:rPr>
          <w:rFonts w:ascii="黑体" w:eastAsia="黑体" w:hAnsi="黑体" w:hint="eastAsia"/>
        </w:rPr>
        <w:t>规范工资支付行为、优化市场环境、强化监管责任，健全预防和解决拖欠农民工工资问题的长效机制，切实保障农民工劳动报酬权益，维护社会公平正义，促进社会和谐稳定，最终实现农民工工资无拖欠。</w:t>
      </w:r>
    </w:p>
    <w:p w:rsidR="002125EB" w:rsidRDefault="002125EB">
      <w:pPr>
        <w:pStyle w:val="ab"/>
        <w:spacing w:line="580" w:lineRule="exact"/>
        <w:ind w:firstLine="560"/>
        <w:rPr>
          <w:rFonts w:hAnsi="黑体"/>
          <w:b w:val="0"/>
          <w:szCs w:val="28"/>
        </w:rPr>
      </w:pPr>
    </w:p>
    <w:p w:rsidR="002125EB" w:rsidRDefault="002125EB">
      <w:pPr>
        <w:pStyle w:val="ab"/>
        <w:spacing w:line="580" w:lineRule="exact"/>
        <w:ind w:firstLine="560"/>
        <w:rPr>
          <w:rFonts w:hAnsi="黑体"/>
          <w:b w:val="0"/>
          <w:szCs w:val="28"/>
        </w:rPr>
      </w:pPr>
    </w:p>
    <w:p w:rsidR="002125EB" w:rsidRDefault="009F0FCC">
      <w:pPr>
        <w:spacing w:line="580" w:lineRule="exact"/>
        <w:ind w:firstLineChars="1400" w:firstLine="3920"/>
        <w:rPr>
          <w:rFonts w:ascii="黑体" w:eastAsia="黑体" w:hAnsi="黑体"/>
        </w:rPr>
      </w:pPr>
      <w:r>
        <w:rPr>
          <w:rFonts w:ascii="黑体" w:eastAsia="黑体" w:hAnsi="黑体" w:hint="eastAsia"/>
        </w:rPr>
        <w:t>贵港市劳动保障监察支队</w:t>
      </w:r>
    </w:p>
    <w:p w:rsidR="002125EB" w:rsidRDefault="009F0FCC">
      <w:pPr>
        <w:spacing w:line="580" w:lineRule="exact"/>
        <w:ind w:firstLineChars="1600" w:firstLine="4480"/>
        <w:rPr>
          <w:rFonts w:ascii="黑体" w:eastAsia="黑体" w:hAnsi="黑体"/>
        </w:rPr>
      </w:pPr>
      <w:r>
        <w:rPr>
          <w:rFonts w:ascii="黑体" w:eastAsia="黑体" w:hAnsi="黑体" w:hint="eastAsia"/>
        </w:rPr>
        <w:t>202</w:t>
      </w:r>
      <w:r w:rsidR="002A0C9B">
        <w:rPr>
          <w:rFonts w:ascii="黑体" w:eastAsia="黑体" w:hAnsi="黑体" w:hint="eastAsia"/>
        </w:rPr>
        <w:t>3</w:t>
      </w:r>
      <w:r>
        <w:rPr>
          <w:rFonts w:ascii="黑体" w:eastAsia="黑体" w:hAnsi="黑体" w:hint="eastAsia"/>
        </w:rPr>
        <w:t>年</w:t>
      </w:r>
      <w:r w:rsidR="002A0C9B">
        <w:rPr>
          <w:rFonts w:ascii="黑体" w:eastAsia="黑体" w:hAnsi="黑体" w:hint="eastAsia"/>
        </w:rPr>
        <w:t>4</w:t>
      </w:r>
      <w:r>
        <w:rPr>
          <w:rFonts w:ascii="黑体" w:eastAsia="黑体" w:hAnsi="黑体" w:hint="eastAsia"/>
        </w:rPr>
        <w:t>月</w:t>
      </w:r>
      <w:r w:rsidR="002A0C9B">
        <w:rPr>
          <w:rFonts w:ascii="黑体" w:eastAsia="黑体" w:hAnsi="黑体" w:hint="eastAsia"/>
        </w:rPr>
        <w:t>18</w:t>
      </w:r>
      <w:r>
        <w:rPr>
          <w:rFonts w:ascii="黑体" w:eastAsia="黑体" w:hAnsi="黑体" w:hint="eastAsia"/>
        </w:rPr>
        <w:t>日</w:t>
      </w:r>
    </w:p>
    <w:sectPr w:rsidR="002125EB" w:rsidSect="002125EB">
      <w:headerReference w:type="default" r:id="rId7"/>
      <w:footerReference w:type="even" r:id="rId8"/>
      <w:footerReference w:type="default" r:id="rId9"/>
      <w:pgSz w:w="11906" w:h="16838"/>
      <w:pgMar w:top="1417" w:right="1361" w:bottom="119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EE3" w:rsidRDefault="00263EE3" w:rsidP="002125EB">
      <w:r>
        <w:separator/>
      </w:r>
    </w:p>
  </w:endnote>
  <w:endnote w:type="continuationSeparator" w:id="0">
    <w:p w:rsidR="00263EE3" w:rsidRDefault="00263EE3" w:rsidP="002125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80E0000" w:usb2="00000000" w:usb3="00000000" w:csb0="00040000" w:csb1="00000000"/>
  </w:font>
  <w:font w:name="隶书">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EB" w:rsidRDefault="00BB31B2">
    <w:pPr>
      <w:pStyle w:val="a4"/>
      <w:framePr w:wrap="around" w:vAnchor="text" w:hAnchor="margin" w:xAlign="center" w:y="1"/>
      <w:rPr>
        <w:rStyle w:val="a6"/>
      </w:rPr>
    </w:pPr>
    <w:r>
      <w:rPr>
        <w:rStyle w:val="a6"/>
      </w:rPr>
      <w:fldChar w:fldCharType="begin"/>
    </w:r>
    <w:r w:rsidR="009F0FCC">
      <w:rPr>
        <w:rStyle w:val="a6"/>
      </w:rPr>
      <w:instrText xml:space="preserve">PAGE  </w:instrText>
    </w:r>
    <w:r>
      <w:rPr>
        <w:rStyle w:val="a6"/>
      </w:rPr>
      <w:fldChar w:fldCharType="end"/>
    </w:r>
  </w:p>
  <w:p w:rsidR="002125EB" w:rsidRDefault="002125E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EB" w:rsidRDefault="00BB31B2">
    <w:pPr>
      <w:pStyle w:val="a4"/>
      <w:framePr w:wrap="around" w:vAnchor="text" w:hAnchor="margin" w:xAlign="center" w:y="1"/>
      <w:rPr>
        <w:rStyle w:val="a6"/>
      </w:rPr>
    </w:pPr>
    <w:r>
      <w:rPr>
        <w:rStyle w:val="a6"/>
      </w:rPr>
      <w:fldChar w:fldCharType="begin"/>
    </w:r>
    <w:r w:rsidR="009F0FCC">
      <w:rPr>
        <w:rStyle w:val="a6"/>
      </w:rPr>
      <w:instrText xml:space="preserve">PAGE  </w:instrText>
    </w:r>
    <w:r>
      <w:rPr>
        <w:rStyle w:val="a6"/>
      </w:rPr>
      <w:fldChar w:fldCharType="separate"/>
    </w:r>
    <w:r w:rsidR="002A0C9B">
      <w:rPr>
        <w:rStyle w:val="a6"/>
        <w:noProof/>
      </w:rPr>
      <w:t>1</w:t>
    </w:r>
    <w:r>
      <w:rPr>
        <w:rStyle w:val="a6"/>
      </w:rPr>
      <w:fldChar w:fldCharType="end"/>
    </w:r>
  </w:p>
  <w:p w:rsidR="002125EB" w:rsidRDefault="002125E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EE3" w:rsidRDefault="00263EE3" w:rsidP="002125EB">
      <w:r>
        <w:separator/>
      </w:r>
    </w:p>
  </w:footnote>
  <w:footnote w:type="continuationSeparator" w:id="0">
    <w:p w:rsidR="00263EE3" w:rsidRDefault="00263EE3" w:rsidP="002125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EB" w:rsidRDefault="002125EB">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7EF5"/>
    <w:rsid w:val="00074760"/>
    <w:rsid w:val="000C0B4B"/>
    <w:rsid w:val="000E0DC4"/>
    <w:rsid w:val="001010DA"/>
    <w:rsid w:val="0012397D"/>
    <w:rsid w:val="00170CC3"/>
    <w:rsid w:val="001B0383"/>
    <w:rsid w:val="002125EB"/>
    <w:rsid w:val="00263EE3"/>
    <w:rsid w:val="002A0C9B"/>
    <w:rsid w:val="002A368B"/>
    <w:rsid w:val="002B466A"/>
    <w:rsid w:val="002E1272"/>
    <w:rsid w:val="003024FE"/>
    <w:rsid w:val="003E50A2"/>
    <w:rsid w:val="004062D3"/>
    <w:rsid w:val="0042151B"/>
    <w:rsid w:val="004441EF"/>
    <w:rsid w:val="00491300"/>
    <w:rsid w:val="004B218A"/>
    <w:rsid w:val="004F27E8"/>
    <w:rsid w:val="00530035"/>
    <w:rsid w:val="005324C8"/>
    <w:rsid w:val="00594261"/>
    <w:rsid w:val="005961D6"/>
    <w:rsid w:val="005D39FB"/>
    <w:rsid w:val="005E0109"/>
    <w:rsid w:val="005E2CE2"/>
    <w:rsid w:val="00601F15"/>
    <w:rsid w:val="006301D4"/>
    <w:rsid w:val="006928BE"/>
    <w:rsid w:val="006C060F"/>
    <w:rsid w:val="006D7B12"/>
    <w:rsid w:val="006E332E"/>
    <w:rsid w:val="00767EF5"/>
    <w:rsid w:val="007B4EB1"/>
    <w:rsid w:val="007E3D83"/>
    <w:rsid w:val="007E4C97"/>
    <w:rsid w:val="008012F2"/>
    <w:rsid w:val="008249CA"/>
    <w:rsid w:val="00840AC5"/>
    <w:rsid w:val="0085715F"/>
    <w:rsid w:val="0087398F"/>
    <w:rsid w:val="008A5469"/>
    <w:rsid w:val="008E0349"/>
    <w:rsid w:val="008E4C72"/>
    <w:rsid w:val="00934C59"/>
    <w:rsid w:val="0095694A"/>
    <w:rsid w:val="009637FC"/>
    <w:rsid w:val="00974685"/>
    <w:rsid w:val="009853AA"/>
    <w:rsid w:val="009868C7"/>
    <w:rsid w:val="00991406"/>
    <w:rsid w:val="009B742E"/>
    <w:rsid w:val="009C24EA"/>
    <w:rsid w:val="009C49F3"/>
    <w:rsid w:val="009C561F"/>
    <w:rsid w:val="009F0FCC"/>
    <w:rsid w:val="00A048A9"/>
    <w:rsid w:val="00A74221"/>
    <w:rsid w:val="00B21206"/>
    <w:rsid w:val="00B37DCB"/>
    <w:rsid w:val="00B40F71"/>
    <w:rsid w:val="00B961E6"/>
    <w:rsid w:val="00BB2160"/>
    <w:rsid w:val="00BB31B2"/>
    <w:rsid w:val="00BE2A53"/>
    <w:rsid w:val="00C255F1"/>
    <w:rsid w:val="00C371CA"/>
    <w:rsid w:val="00C84B9E"/>
    <w:rsid w:val="00CB0AAC"/>
    <w:rsid w:val="00D04867"/>
    <w:rsid w:val="00D06ACF"/>
    <w:rsid w:val="00D1772F"/>
    <w:rsid w:val="00D20659"/>
    <w:rsid w:val="00D27E33"/>
    <w:rsid w:val="00D73975"/>
    <w:rsid w:val="00D927A4"/>
    <w:rsid w:val="00DA0B52"/>
    <w:rsid w:val="00DB7942"/>
    <w:rsid w:val="00DC1E10"/>
    <w:rsid w:val="00DE5289"/>
    <w:rsid w:val="00DF4D21"/>
    <w:rsid w:val="00E00C0F"/>
    <w:rsid w:val="00E14BE5"/>
    <w:rsid w:val="00EB09A7"/>
    <w:rsid w:val="00EC6DEA"/>
    <w:rsid w:val="00EC76A0"/>
    <w:rsid w:val="00ED1A2F"/>
    <w:rsid w:val="00ED3745"/>
    <w:rsid w:val="00EF4CD6"/>
    <w:rsid w:val="00EF7419"/>
    <w:rsid w:val="00F31F04"/>
    <w:rsid w:val="00F44FAE"/>
    <w:rsid w:val="00F53ED4"/>
    <w:rsid w:val="00F67D9C"/>
    <w:rsid w:val="00F70817"/>
    <w:rsid w:val="00F73DD4"/>
    <w:rsid w:val="00F744B4"/>
    <w:rsid w:val="06D573DE"/>
    <w:rsid w:val="46470584"/>
    <w:rsid w:val="609571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25EB"/>
    <w:pPr>
      <w:widowControl w:val="0"/>
      <w:jc w:val="both"/>
    </w:pPr>
    <w:rPr>
      <w:kern w:val="2"/>
      <w:sz w:val="28"/>
      <w:szCs w:val="28"/>
    </w:rPr>
  </w:style>
  <w:style w:type="paragraph" w:styleId="1">
    <w:name w:val="heading 1"/>
    <w:basedOn w:val="a"/>
    <w:next w:val="a"/>
    <w:qFormat/>
    <w:rsid w:val="002125EB"/>
    <w:pPr>
      <w:ind w:firstLineChars="200" w:firstLine="562"/>
      <w:outlineLvl w:val="0"/>
    </w:pPr>
    <w:rPr>
      <w:rFonts w:ascii="黑体" w:eastAsia="黑体"/>
      <w:b/>
    </w:rPr>
  </w:style>
  <w:style w:type="paragraph" w:styleId="2">
    <w:name w:val="heading 2"/>
    <w:basedOn w:val="a"/>
    <w:next w:val="a"/>
    <w:qFormat/>
    <w:rsid w:val="002125EB"/>
    <w:pPr>
      <w:ind w:firstLineChars="200" w:firstLine="562"/>
      <w:outlineLvl w:val="1"/>
    </w:pPr>
    <w:rPr>
      <w:rFonts w:ascii="楷体_GB2312" w:eastAsia="楷体_GB2312"/>
      <w:b/>
    </w:rPr>
  </w:style>
  <w:style w:type="paragraph" w:styleId="3">
    <w:name w:val="heading 3"/>
    <w:basedOn w:val="a"/>
    <w:next w:val="a"/>
    <w:qFormat/>
    <w:rsid w:val="002125EB"/>
    <w:pPr>
      <w:ind w:firstLineChars="200" w:firstLine="560"/>
      <w:outlineLvl w:val="2"/>
    </w:pPr>
    <w:rPr>
      <w:rFonts w:ascii="隶书" w:eastAsia="隶书"/>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125EB"/>
    <w:rPr>
      <w:sz w:val="18"/>
      <w:szCs w:val="18"/>
    </w:rPr>
  </w:style>
  <w:style w:type="paragraph" w:styleId="a4">
    <w:name w:val="footer"/>
    <w:basedOn w:val="a"/>
    <w:qFormat/>
    <w:rsid w:val="002125EB"/>
    <w:pPr>
      <w:tabs>
        <w:tab w:val="center" w:pos="4153"/>
        <w:tab w:val="right" w:pos="8306"/>
      </w:tabs>
      <w:snapToGrid w:val="0"/>
      <w:jc w:val="left"/>
    </w:pPr>
    <w:rPr>
      <w:sz w:val="18"/>
      <w:szCs w:val="18"/>
    </w:rPr>
  </w:style>
  <w:style w:type="paragraph" w:styleId="a5">
    <w:name w:val="header"/>
    <w:basedOn w:val="a"/>
    <w:qFormat/>
    <w:rsid w:val="002125EB"/>
    <w:pPr>
      <w:pBdr>
        <w:bottom w:val="single" w:sz="6" w:space="1" w:color="auto"/>
      </w:pBdr>
      <w:tabs>
        <w:tab w:val="center" w:pos="4153"/>
        <w:tab w:val="right" w:pos="8306"/>
      </w:tabs>
      <w:snapToGrid w:val="0"/>
      <w:jc w:val="center"/>
    </w:pPr>
    <w:rPr>
      <w:sz w:val="18"/>
      <w:szCs w:val="18"/>
    </w:rPr>
  </w:style>
  <w:style w:type="character" w:styleId="a6">
    <w:name w:val="page number"/>
    <w:basedOn w:val="a0"/>
    <w:rsid w:val="002125EB"/>
  </w:style>
  <w:style w:type="character" w:styleId="a7">
    <w:name w:val="Hyperlink"/>
    <w:basedOn w:val="a0"/>
    <w:uiPriority w:val="99"/>
    <w:unhideWhenUsed/>
    <w:rsid w:val="002125EB"/>
    <w:rPr>
      <w:color w:val="0000FF"/>
      <w:u w:val="single"/>
    </w:rPr>
  </w:style>
  <w:style w:type="paragraph" w:customStyle="1" w:styleId="a8">
    <w:name w:val="余东燚"/>
    <w:basedOn w:val="a"/>
    <w:rsid w:val="002125EB"/>
    <w:pPr>
      <w:spacing w:afterLines="100"/>
      <w:jc w:val="center"/>
    </w:pPr>
    <w:rPr>
      <w:rFonts w:ascii="黑体" w:eastAsia="黑体"/>
      <w:b/>
      <w:sz w:val="36"/>
      <w:szCs w:val="44"/>
    </w:rPr>
  </w:style>
  <w:style w:type="paragraph" w:customStyle="1" w:styleId="a9">
    <w:name w:val="文章标题"/>
    <w:basedOn w:val="a"/>
    <w:rsid w:val="002125EB"/>
    <w:pPr>
      <w:spacing w:beforeLines="100" w:afterLines="100"/>
      <w:jc w:val="center"/>
    </w:pPr>
    <w:rPr>
      <w:rFonts w:ascii="黑体" w:eastAsia="黑体"/>
      <w:b/>
      <w:sz w:val="36"/>
      <w:szCs w:val="44"/>
    </w:rPr>
  </w:style>
  <w:style w:type="paragraph" w:customStyle="1" w:styleId="aa">
    <w:name w:val="文章信息"/>
    <w:basedOn w:val="a9"/>
    <w:rsid w:val="002125EB"/>
    <w:pPr>
      <w:spacing w:after="312"/>
    </w:pPr>
    <w:rPr>
      <w:rFonts w:ascii="楷体_GB2312" w:eastAsia="楷体_GB2312"/>
      <w:b w:val="0"/>
      <w:sz w:val="28"/>
      <w:szCs w:val="28"/>
    </w:rPr>
  </w:style>
  <w:style w:type="paragraph" w:customStyle="1" w:styleId="ab">
    <w:name w:val="段首标题行"/>
    <w:basedOn w:val="a"/>
    <w:rsid w:val="002125EB"/>
    <w:pPr>
      <w:ind w:firstLineChars="200" w:firstLine="562"/>
    </w:pPr>
    <w:rPr>
      <w:rFonts w:ascii="黑体" w:eastAsia="黑体" w:cs="宋体"/>
      <w:b/>
      <w:bCs/>
      <w:szCs w:val="20"/>
    </w:rPr>
  </w:style>
  <w:style w:type="character" w:customStyle="1" w:styleId="description">
    <w:name w:val="description"/>
    <w:basedOn w:val="a0"/>
    <w:qFormat/>
    <w:rsid w:val="002125EB"/>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166</Words>
  <Characters>947</Characters>
  <Application>Microsoft Office Word</Application>
  <DocSecurity>0</DocSecurity>
  <Lines>7</Lines>
  <Paragraphs>2</Paragraphs>
  <ScaleCrop>false</ScaleCrop>
  <Company>信念技术论坛</Company>
  <LinksUpToDate>false</LinksUpToDate>
  <CharactersWithSpaces>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贵港市本级预算2014年绩效目标申报文字说明</dc:title>
  <dc:creator>User</dc:creator>
  <cp:lastModifiedBy>Administrator</cp:lastModifiedBy>
  <cp:revision>3</cp:revision>
  <cp:lastPrinted>2021-01-04T08:56:00Z</cp:lastPrinted>
  <dcterms:created xsi:type="dcterms:W3CDTF">2023-04-18T14:00:00Z</dcterms:created>
  <dcterms:modified xsi:type="dcterms:W3CDTF">2023-04-18T14:11:00Z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